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8E72">
      <w:pPr>
        <w:jc w:val="right"/>
        <w:rPr>
          <w:rFonts w:ascii="仿宋_GB2312" w:eastAsia="仿宋_GB2312"/>
          <w:sz w:val="32"/>
          <w:szCs w:val="32"/>
        </w:rPr>
      </w:pPr>
    </w:p>
    <w:p w14:paraId="6741E6A8">
      <w:pPr>
        <w:jc w:val="center"/>
        <w:rPr>
          <w:rFonts w:ascii="方正小标宋简体" w:eastAsia="方正小标宋简体"/>
          <w:sz w:val="44"/>
          <w:szCs w:val="44"/>
        </w:rPr>
      </w:pPr>
    </w:p>
    <w:p w14:paraId="74A9CCDF">
      <w:pPr>
        <w:jc w:val="center"/>
        <w:rPr>
          <w:rFonts w:ascii="方正小标宋简体" w:eastAsia="方正小标宋简体"/>
          <w:sz w:val="44"/>
          <w:szCs w:val="44"/>
        </w:rPr>
      </w:pPr>
      <w:r>
        <w:rPr>
          <w:rFonts w:hint="eastAsia" w:ascii="方正小标宋简体" w:eastAsia="方正小标宋简体"/>
          <w:sz w:val="44"/>
          <w:szCs w:val="44"/>
        </w:rPr>
        <w:t>投诉处理结果公告</w:t>
      </w:r>
    </w:p>
    <w:p w14:paraId="71E0B610">
      <w:pPr>
        <w:snapToGrid w:val="0"/>
        <w:spacing w:line="576" w:lineRule="exact"/>
        <w:ind w:firstLine="640" w:firstLineChars="200"/>
        <w:rPr>
          <w:rFonts w:ascii="仿宋_GB2312" w:eastAsia="仿宋_GB2312"/>
          <w:sz w:val="32"/>
          <w:szCs w:val="32"/>
        </w:rPr>
      </w:pPr>
    </w:p>
    <w:p w14:paraId="596E7CA9">
      <w:pPr>
        <w:snapToGrid w:val="0"/>
        <w:spacing w:line="576" w:lineRule="exact"/>
        <w:ind w:firstLine="643" w:firstLineChars="200"/>
        <w:rPr>
          <w:rFonts w:hint="default" w:ascii="Times New Roman" w:hAnsi="Times New Roman" w:eastAsia="仿宋_GB2312" w:cs="Times New Roman"/>
          <w:sz w:val="32"/>
          <w:szCs w:val="32"/>
        </w:rPr>
      </w:pPr>
      <w:r>
        <w:rPr>
          <w:rFonts w:hint="eastAsia" w:ascii="仿宋_GB2312" w:eastAsia="仿宋_GB2312"/>
          <w:b/>
          <w:sz w:val="32"/>
          <w:szCs w:val="32"/>
        </w:rPr>
        <w:t>一、项目编号：</w:t>
      </w:r>
      <w:r>
        <w:rPr>
          <w:rFonts w:hint="default" w:ascii="Times New Roman" w:hAnsi="Times New Roman" w:eastAsia="仿宋_GB2312" w:cs="Times New Roman"/>
          <w:sz w:val="32"/>
          <w:szCs w:val="32"/>
        </w:rPr>
        <w:t xml:space="preserve">一诺-YC2024-020 </w:t>
      </w:r>
    </w:p>
    <w:p w14:paraId="35C86D23">
      <w:pPr>
        <w:snapToGrid w:val="0"/>
        <w:spacing w:line="576" w:lineRule="exact"/>
        <w:ind w:firstLine="643" w:firstLineChars="200"/>
        <w:rPr>
          <w:rFonts w:hint="eastAsia" w:ascii="仿宋_GB2312" w:eastAsia="仿宋_GB2312"/>
          <w:sz w:val="32"/>
          <w:szCs w:val="32"/>
        </w:rPr>
      </w:pPr>
      <w:r>
        <w:rPr>
          <w:rFonts w:hint="eastAsia" w:ascii="仿宋_GB2312" w:eastAsia="仿宋_GB2312"/>
          <w:b/>
          <w:sz w:val="32"/>
          <w:szCs w:val="32"/>
        </w:rPr>
        <w:t>二、项目名称：</w:t>
      </w:r>
      <w:r>
        <w:rPr>
          <w:rFonts w:hint="eastAsia" w:ascii="仿宋_GB2312" w:eastAsia="仿宋_GB2312"/>
          <w:sz w:val="32"/>
          <w:szCs w:val="32"/>
        </w:rPr>
        <w:t>宜春经开区交警大队智能化项目</w:t>
      </w:r>
    </w:p>
    <w:p w14:paraId="4B606AC6">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三、相关当事人</w:t>
      </w:r>
    </w:p>
    <w:p w14:paraId="74B6E1AE">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投诉人：宜春全通信息工程有限公司</w:t>
      </w:r>
    </w:p>
    <w:p w14:paraId="2567C268">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地址：江西省宜春市袁州区环城南路798号亚洲锂都互联网</w:t>
      </w:r>
    </w:p>
    <w:p w14:paraId="1CDF0A19">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被投诉人1：宜春一诺招标代理有限公司（代理机构）</w:t>
      </w:r>
    </w:p>
    <w:p w14:paraId="0B970994">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地址：江西省宜春市袁州区二字科巷涂家小区56附20 号 </w:t>
      </w:r>
    </w:p>
    <w:p w14:paraId="50B5D67E">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被投诉人2：宜春市公安局交通警察支队经开区大队（采购人）</w:t>
      </w:r>
    </w:p>
    <w:p w14:paraId="0114C95C">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地址：江西省宜春市袁州区宜工大道与春雨路交叉口西北200米</w:t>
      </w:r>
    </w:p>
    <w:p w14:paraId="574185EB">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相关</w:t>
      </w:r>
      <w:r>
        <w:rPr>
          <w:rFonts w:hint="eastAsia" w:ascii="仿宋_GB2312" w:eastAsia="仿宋_GB2312"/>
          <w:sz w:val="32"/>
          <w:szCs w:val="32"/>
          <w:lang w:val="en-US" w:eastAsia="zh-CN"/>
        </w:rPr>
        <w:t>供应商</w:t>
      </w:r>
      <w:r>
        <w:rPr>
          <w:rFonts w:hint="eastAsia" w:ascii="仿宋_GB2312" w:eastAsia="仿宋_GB2312"/>
          <w:sz w:val="32"/>
          <w:szCs w:val="32"/>
        </w:rPr>
        <w:t xml:space="preserve">：冠林电子有限公司 </w:t>
      </w:r>
    </w:p>
    <w:p w14:paraId="4B70CA32">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地址：福建省福州市马尾区快安路6-1号(自贸试验区内) </w:t>
      </w:r>
    </w:p>
    <w:p w14:paraId="6C6E5224">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四、基本情况</w:t>
      </w:r>
    </w:p>
    <w:p w14:paraId="6AE8FCB3">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投诉人因对</w:t>
      </w:r>
      <w:r>
        <w:rPr>
          <w:rFonts w:hint="eastAsia" w:ascii="仿宋_GB2312" w:eastAsia="仿宋_GB2312"/>
          <w:sz w:val="32"/>
          <w:szCs w:val="32"/>
          <w:lang w:val="en-US" w:eastAsia="zh-CN"/>
        </w:rPr>
        <w:t>被投诉人</w:t>
      </w:r>
      <w:r>
        <w:rPr>
          <w:rFonts w:hint="eastAsia" w:ascii="仿宋_GB2312" w:eastAsia="仿宋_GB2312"/>
          <w:sz w:val="32"/>
          <w:szCs w:val="32"/>
        </w:rPr>
        <w:t>就本项目作出的质疑答复不满，向本机关提起投诉。投诉事项为：我公司质疑中标人冠林电子有限公司所投“八口POE交换机、24口接入交换机、核心交换机1”三个产品属于涉及网间互联的电信设备，根据《电信设备进网管理办法》第三条规定属于未获得进网许可证的产品，不得接入公用电信网使用和在国内销售。针对此项质疑，代理机构答复，涉及网间互联的电信设备的注释内容从字面上已经明确涉及网间互联的设备一种是“主体不同电信业务经营者”的电信设备；一种是“不同电信业务的网络间”互联互通的电信设备，泛指电信业务经营者(移动、联通、电信、铁塔等具备电信业务经营者)在中心机房及节点提供服务所需要配套设备。我公司对代理机构的答复不予认可，根据工业和信息化部政务服务平台查询电信设备进网许可的设备目录显示，以太网交换机和三层交换机均属于电信设备目录之中。且我公司在质疑中提供的《附件一：关于对新干县中等专业学校等14 栋楼弱电及网络设备采购安装项目的投诉处理决定》明确显示了交换机未提供电信入网许可证的类似情形。</w:t>
      </w:r>
    </w:p>
    <w:p w14:paraId="64A40A9B">
      <w:pPr>
        <w:snapToGrid w:val="0"/>
        <w:spacing w:line="576" w:lineRule="exact"/>
        <w:ind w:firstLine="640" w:firstLineChars="200"/>
        <w:rPr>
          <w:rFonts w:hint="default" w:ascii="仿宋_GB2312" w:eastAsia="仿宋_GB2312"/>
          <w:sz w:val="32"/>
          <w:szCs w:val="32"/>
          <w:woUserID w:val="1"/>
        </w:rPr>
      </w:pPr>
      <w:r>
        <w:rPr>
          <w:rFonts w:hint="eastAsia" w:ascii="仿宋_GB2312" w:eastAsia="仿宋_GB2312"/>
          <w:sz w:val="32"/>
          <w:szCs w:val="32"/>
        </w:rPr>
        <w:t>代理机构回复本项目所采购的设备均不在此范围内，未予以公正处理严重损害我司合法权益。</w:t>
      </w:r>
      <w:r>
        <w:rPr>
          <w:rFonts w:hint="default" w:ascii="仿宋_GB2312" w:eastAsia="仿宋_GB2312"/>
          <w:sz w:val="32"/>
          <w:szCs w:val="32"/>
          <w:woUserID w:val="1"/>
        </w:rPr>
        <w:t>本机关依法调查并作出处理决定。</w:t>
      </w:r>
    </w:p>
    <w:p w14:paraId="020C9E5C">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五、处理依据及结果</w:t>
      </w:r>
    </w:p>
    <w:p w14:paraId="6C3ADABD">
      <w:pPr>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根据《政府采购质疑和投诉办法》（财政部令第94号）第二十九条</w:t>
      </w:r>
      <w:bookmarkStart w:id="0" w:name="_GoBack"/>
      <w:bookmarkEnd w:id="0"/>
      <w:r>
        <w:rPr>
          <w:rFonts w:hint="eastAsia" w:ascii="仿宋_GB2312" w:eastAsia="仿宋_GB2312"/>
          <w:sz w:val="32"/>
          <w:szCs w:val="32"/>
        </w:rPr>
        <w:t>第一款第（二）项之规定，本机关决定：驳回投诉。</w:t>
      </w:r>
    </w:p>
    <w:p w14:paraId="2497D65A">
      <w:pPr>
        <w:jc w:val="both"/>
        <w:rPr>
          <w:rFonts w:hint="eastAsia" w:ascii="仿宋_GB2312" w:eastAsia="仿宋_GB2312"/>
          <w:sz w:val="32"/>
          <w:szCs w:val="32"/>
          <w:lang w:val="en-US" w:eastAsia="zh-CN"/>
        </w:rPr>
      </w:pPr>
    </w:p>
    <w:p w14:paraId="1BE4B346">
      <w:pPr>
        <w:jc w:val="both"/>
        <w:rPr>
          <w:rFonts w:hint="eastAsia" w:ascii="仿宋_GB2312" w:eastAsia="仿宋_GB2312"/>
          <w:sz w:val="32"/>
          <w:szCs w:val="32"/>
          <w:lang w:val="en-US" w:eastAsia="zh-CN"/>
        </w:rPr>
      </w:pPr>
    </w:p>
    <w:p w14:paraId="0920CD22">
      <w:pPr>
        <w:ind w:firstLine="4800" w:firstLineChars="1500"/>
        <w:jc w:val="both"/>
        <w:rPr>
          <w:rFonts w:ascii="仿宋_GB2312" w:eastAsia="仿宋_GB2312"/>
          <w:sz w:val="32"/>
          <w:szCs w:val="32"/>
        </w:rPr>
      </w:pPr>
      <w:r>
        <w:rPr>
          <w:rFonts w:hint="eastAsia" w:ascii="仿宋_GB2312" w:eastAsia="仿宋_GB2312"/>
          <w:sz w:val="32"/>
          <w:szCs w:val="32"/>
          <w:lang w:val="en-US" w:eastAsia="zh-CN"/>
        </w:rPr>
        <w:t>宜春市</w:t>
      </w:r>
      <w:r>
        <w:rPr>
          <w:rFonts w:hint="eastAsia" w:ascii="仿宋_GB2312" w:eastAsia="仿宋_GB2312"/>
          <w:sz w:val="32"/>
          <w:szCs w:val="32"/>
        </w:rPr>
        <w:t>财政局</w:t>
      </w:r>
    </w:p>
    <w:p w14:paraId="1E4846DC">
      <w:pPr>
        <w:ind w:firstLine="4480" w:firstLineChars="1400"/>
        <w:jc w:val="both"/>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D704162-ED10-4277-9081-605765DD0810}"/>
  </w:font>
  <w:font w:name="仿宋_GB2312">
    <w:panose1 w:val="02010609030101010101"/>
    <w:charset w:val="86"/>
    <w:family w:val="modern"/>
    <w:pitch w:val="default"/>
    <w:sig w:usb0="00000001" w:usb1="080E0000" w:usb2="00000000" w:usb3="00000000" w:csb0="00040000" w:csb1="00000000"/>
    <w:embedRegular r:id="rId2" w:fontKey="{6A88AB66-E5C7-4EFC-A3AF-31C38ACE1382}"/>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7C"/>
    <w:rsid w:val="000560B9"/>
    <w:rsid w:val="00117C71"/>
    <w:rsid w:val="00121708"/>
    <w:rsid w:val="001615AE"/>
    <w:rsid w:val="0018534B"/>
    <w:rsid w:val="00193F8A"/>
    <w:rsid w:val="00200019"/>
    <w:rsid w:val="002166F1"/>
    <w:rsid w:val="002403CA"/>
    <w:rsid w:val="00283F22"/>
    <w:rsid w:val="002B7B0A"/>
    <w:rsid w:val="002E48F4"/>
    <w:rsid w:val="002F3B0F"/>
    <w:rsid w:val="003440A7"/>
    <w:rsid w:val="003506AE"/>
    <w:rsid w:val="003541C7"/>
    <w:rsid w:val="00462DB5"/>
    <w:rsid w:val="004811EE"/>
    <w:rsid w:val="00513FF3"/>
    <w:rsid w:val="00596476"/>
    <w:rsid w:val="00596A56"/>
    <w:rsid w:val="006A5EB7"/>
    <w:rsid w:val="00743ABC"/>
    <w:rsid w:val="007D360A"/>
    <w:rsid w:val="00815E7C"/>
    <w:rsid w:val="0082647A"/>
    <w:rsid w:val="00837351"/>
    <w:rsid w:val="008A75EB"/>
    <w:rsid w:val="00986648"/>
    <w:rsid w:val="00993C8D"/>
    <w:rsid w:val="00B93279"/>
    <w:rsid w:val="00BE0C9F"/>
    <w:rsid w:val="00C1485C"/>
    <w:rsid w:val="00C46D6D"/>
    <w:rsid w:val="00C52D6F"/>
    <w:rsid w:val="00C74946"/>
    <w:rsid w:val="00D12129"/>
    <w:rsid w:val="00D126CE"/>
    <w:rsid w:val="00D25F15"/>
    <w:rsid w:val="00D34DF0"/>
    <w:rsid w:val="00D90A74"/>
    <w:rsid w:val="00E2735E"/>
    <w:rsid w:val="00EB6051"/>
    <w:rsid w:val="00ED4B6C"/>
    <w:rsid w:val="00F445BE"/>
    <w:rsid w:val="00F92C67"/>
    <w:rsid w:val="0E707160"/>
    <w:rsid w:val="12D331FB"/>
    <w:rsid w:val="18912F4A"/>
    <w:rsid w:val="4EFFA012"/>
    <w:rsid w:val="53D70B2B"/>
    <w:rsid w:val="574076EB"/>
    <w:rsid w:val="592E6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Pages>
  <Words>643</Words>
  <Characters>666</Characters>
  <Lines>4</Lines>
  <Paragraphs>1</Paragraphs>
  <TotalTime>59</TotalTime>
  <ScaleCrop>false</ScaleCrop>
  <LinksUpToDate>false</LinksUpToDate>
  <CharactersWithSpaces>669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2024-10-30T14:16:00Z</dcterms:created>
  <dc:creator>微软用户</dc:creator>
  <cp:lastModifiedBy>lips</cp:lastModifiedBy>
  <dcterms:modified xsi:type="dcterms:W3CDTF">2025-03-03T07:54:36Z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eyJoZGlkIjoiMDdjYzY1YjA5MjM4ZWI5ZWY0MWFiYjFiNzE2MmJhYTAiLCJ1c2VySWQiOiIyNDI1MTUzNTYifQ==</vt:lpwstr>
  </property>
  <property fmtid="{D5CDD505-2E9C-101B-9397-08002B2CF9AE}" pid="3" name="KSOProductBuildVer">
    <vt:lpwstr>2052-12.1.0.19770</vt:lpwstr>
  </property>
  <property fmtid="{D5CDD505-2E9C-101B-9397-08002B2CF9AE}" pid="4" name="ICV">
    <vt:lpwstr>24297DECE12A49AA92E44AA85D3BF22A_13</vt:lpwstr>
  </property>
</Properties>
</file>